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BB" w:rsidRPr="000139BB" w:rsidRDefault="000139BB" w:rsidP="000139BB">
      <w:pPr>
        <w:spacing w:before="100" w:beforeAutospacing="1" w:after="100" w:afterAutospacing="1" w:line="270" w:lineRule="atLeast"/>
        <w:outlineLvl w:val="2"/>
        <w:rPr>
          <w:rFonts w:ascii="Arial" w:eastAsia="Times New Roman" w:hAnsi="Arial" w:cs="Arial"/>
          <w:color w:val="172D5D"/>
          <w:sz w:val="27"/>
          <w:szCs w:val="27"/>
          <w:lang w:val="fr-BE"/>
        </w:rPr>
      </w:pPr>
      <w:r w:rsidRPr="000139BB">
        <w:rPr>
          <w:rFonts w:ascii="Arial" w:eastAsia="Times New Roman" w:hAnsi="Arial" w:cs="Arial"/>
          <w:color w:val="172D5D"/>
          <w:sz w:val="27"/>
          <w:szCs w:val="27"/>
          <w:lang w:val="fr-BE"/>
        </w:rPr>
        <w:t>Baza legală</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Legea nr. 544 din 12 octombrie 2001 privind liberul acces la informaţiile de interes public</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1</w:t>
      </w:r>
      <w:r w:rsidRPr="000139BB">
        <w:rPr>
          <w:rFonts w:ascii="Arial" w:eastAsia="Times New Roman" w:hAnsi="Arial" w:cs="Arial"/>
          <w:color w:val="4F4F4F"/>
          <w:sz w:val="21"/>
          <w:szCs w:val="21"/>
          <w:lang w:val="fr-BE"/>
        </w:rPr>
        <w:t>. -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rPr>
      </w:pPr>
      <w:r w:rsidRPr="000139BB">
        <w:rPr>
          <w:rFonts w:ascii="Arial" w:eastAsia="Times New Roman" w:hAnsi="Arial" w:cs="Arial"/>
          <w:b/>
          <w:bCs/>
          <w:color w:val="4F4F4F"/>
          <w:sz w:val="21"/>
          <w:szCs w:val="21"/>
        </w:rPr>
        <w:t>Art. 2</w:t>
      </w:r>
      <w:r w:rsidRPr="000139BB">
        <w:rPr>
          <w:rFonts w:ascii="Arial" w:eastAsia="Times New Roman" w:hAnsi="Arial" w:cs="Arial"/>
          <w:color w:val="4F4F4F"/>
          <w:sz w:val="21"/>
          <w:szCs w:val="21"/>
        </w:rPr>
        <w:t>. - În sensul prezentei legi: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rPr>
      </w:pPr>
      <w:r w:rsidRPr="000139BB">
        <w:rPr>
          <w:rFonts w:ascii="Arial" w:eastAsia="Times New Roman" w:hAnsi="Arial" w:cs="Arial"/>
          <w:color w:val="4F4F4F"/>
          <w:sz w:val="21"/>
          <w:szCs w:val="21"/>
        </w:rPr>
        <w:t>a) prin autoritate sau instituţie publică se înţelege orice autoritate sau instituţie publică, precum şi orice regie autonomă care utilizează resurse financiare publice şi care îşi desfăşoară activitatea pe teritoriul României, potrivit Constituţiei;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b) prin informaţie de interes public se înţelege orice informaţie care priveşte activităţile sau rezultă din activităţile unei autorităţi publice sau instituţii publice, indiferent de suportul ori de forma sau de modul de exprimare a informaţiei;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c) prin informaţie cu privire la datele personale se înţelege orice informaţie privind o persoană fizică identificată sau identificabilă.</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3.</w:t>
      </w:r>
      <w:r w:rsidRPr="000139BB">
        <w:rPr>
          <w:rFonts w:ascii="Arial" w:eastAsia="Times New Roman" w:hAnsi="Arial" w:cs="Arial"/>
          <w:color w:val="4F4F4F"/>
          <w:sz w:val="21"/>
          <w:szCs w:val="21"/>
          <w:lang w:val="fr-BE"/>
        </w:rPr>
        <w:t> - Asigurarea de către autorităţile şi instituţiile publice a accesului la informaţiile de interes public se face din oficiu sau la cerere, prin intermediul compartimentului pentru relaţii publice sau al persoanei desemnate în acest scop.</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4.</w:t>
      </w:r>
      <w:r w:rsidRPr="000139BB">
        <w:rPr>
          <w:rFonts w:ascii="Arial" w:eastAsia="Times New Roman" w:hAnsi="Arial" w:cs="Arial"/>
          <w:color w:val="4F4F4F"/>
          <w:sz w:val="21"/>
          <w:szCs w:val="21"/>
          <w:lang w:val="fr-BE"/>
        </w:rPr>
        <w:t> -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5</w:t>
      </w:r>
      <w:r w:rsidRPr="000139BB">
        <w:rPr>
          <w:rFonts w:ascii="Arial" w:eastAsia="Times New Roman" w:hAnsi="Arial" w:cs="Arial"/>
          <w:color w:val="4F4F4F"/>
          <w:sz w:val="21"/>
          <w:szCs w:val="21"/>
          <w:lang w:val="fr-BE"/>
        </w:rPr>
        <w:t>. - (1) Fiecare autoritate sau instituţie publică are obligaţia să comunice din oficiu următoarele informaţii de interes public:</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a) actele normative care reglementează organizarea şi funcţionarea autorităţii sau instituţiei publice;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b) structura organizatorică, atribuţiile departamentelor, programul de funcţionare, programul de audienţe al autorităţii sau instituţiei publice;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c) numele şi prenumele persoanelor din conducerea autorităţii sau a instituţiei publice şi ale funcţionarului responsabil cu difuzarea informaţiilor publice;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d) coordonatele de contact ale autorităţii sau instituţiei publice, respectiv: denumirea, sediul, numerele de telefon, fax, adresa de e-mail şi adresa paginii de Internet;</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e) sursele financiare, bugetul şi bilanţul contabil;</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f) programele şi strategiile proprii;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lastRenderedPageBreak/>
        <w:t>g) lista cuprinzând documentele de interes public;</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h) lista cuprinzând categoriile de documente produse şi/sau gestionate, potrivit legii;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i) modalităţile de contestare a deciziei autorităţii sau a instituţiei publice în situaţia în care persoana se consideră vătămată în privinţa dreptului de acces la informaţiile de interes public solicitate.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(4) Accesul la informaţiile prevăzute la alin. (1) se realizează prin:</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a) afişare la sediul autorităţii sau al instituţiei publice ori prin publicare în Monitorul Oficial al României sau în mijloacele de informare în masă, în publicaţii proprii, precum şi în pagina de Internet proprie;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b) consultarea lor la sediul autorităţii sau al instituţiei publice, în spaţii special destinate acestui scop.</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6.</w:t>
      </w:r>
      <w:r w:rsidRPr="000139BB">
        <w:rPr>
          <w:rFonts w:ascii="Arial" w:eastAsia="Times New Roman" w:hAnsi="Arial" w:cs="Arial"/>
          <w:color w:val="4F4F4F"/>
          <w:sz w:val="21"/>
          <w:szCs w:val="21"/>
          <w:lang w:val="fr-BE"/>
        </w:rPr>
        <w:t> - (1) Orice persoană are dreptul să solicite şi să obţină de la autorităţile şi instituţiile publice, în condiţiile prezentei legi, informaţiile de interes public.</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(2) Autorităţile şi instituţiile publice sunt obligate să asigure persoanelor, la cererea acestora, informaţiile de interes public solicitate în scris sau verbal.</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(3) Solicitarea în scris a informaţiilor de interes public cuprinde următoarele elemente: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a) autoritatea sau instituţia publică la care se adresează cererea;</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b) informaţia solicitată, astfel încât să permită autorităţii sau instituţiei publice identificarea informaţiei de interes public;</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c) numele, prenumele şi semnătura solicitantului, precum şi adresa la care se solicită primirea răspunsului.</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7.</w:t>
      </w:r>
      <w:r w:rsidRPr="000139BB">
        <w:rPr>
          <w:rFonts w:ascii="Arial" w:eastAsia="Times New Roman" w:hAnsi="Arial" w:cs="Arial"/>
          <w:color w:val="4F4F4F"/>
          <w:sz w:val="21"/>
          <w:szCs w:val="21"/>
          <w:lang w:val="fr-BE"/>
        </w:rPr>
        <w:t> -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(2) Refuzul comunicării informaţiilor solicitate se motivează şi se comunică în termen de 5 zile de la primirea petiţiilor.</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rPr>
      </w:pPr>
      <w:r w:rsidRPr="000139BB">
        <w:rPr>
          <w:rFonts w:ascii="Arial" w:eastAsia="Times New Roman" w:hAnsi="Arial" w:cs="Arial"/>
          <w:color w:val="4F4F4F"/>
          <w:sz w:val="21"/>
          <w:szCs w:val="21"/>
        </w:rPr>
        <w:t>(3) Solicitarea şi obţinerea informaţiilor de interes public se pot realiza, dacă sunt întrunite condiţiile tehnice necesare, şi în format electronic.</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rPr>
      </w:pPr>
      <w:r w:rsidRPr="000139BB">
        <w:rPr>
          <w:rFonts w:ascii="Arial" w:eastAsia="Times New Roman" w:hAnsi="Arial" w:cs="Arial"/>
          <w:b/>
          <w:bCs/>
          <w:color w:val="4F4F4F"/>
          <w:sz w:val="21"/>
          <w:szCs w:val="21"/>
        </w:rPr>
        <w:t>Art. 8</w:t>
      </w:r>
      <w:r w:rsidRPr="000139BB">
        <w:rPr>
          <w:rFonts w:ascii="Arial" w:eastAsia="Times New Roman" w:hAnsi="Arial" w:cs="Arial"/>
          <w:color w:val="4F4F4F"/>
          <w:sz w:val="21"/>
          <w:szCs w:val="21"/>
        </w:rPr>
        <w:t>. - (1) 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rPr>
      </w:pPr>
      <w:r w:rsidRPr="000139BB">
        <w:rPr>
          <w:rFonts w:ascii="Arial" w:eastAsia="Times New Roman" w:hAnsi="Arial" w:cs="Arial"/>
          <w:color w:val="4F4F4F"/>
          <w:sz w:val="21"/>
          <w:szCs w:val="21"/>
        </w:rPr>
        <w:lastRenderedPageBreak/>
        <w:t>2) În cazul în care informaţiile solicitate nu sunt disponibile pe loc, persoana este îndrumată să solicite în scris informaţia de interes public, urmând ca cererea să îi fie rezolvată în termenele prevăzute la art. 7.</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rPr>
      </w:pPr>
      <w:r w:rsidRPr="000139BB">
        <w:rPr>
          <w:rFonts w:ascii="Arial" w:eastAsia="Times New Roman" w:hAnsi="Arial" w:cs="Arial"/>
          <w:color w:val="4F4F4F"/>
          <w:sz w:val="21"/>
          <w:szCs w:val="21"/>
        </w:rPr>
        <w:t>(3) 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(5) Informaţiile de interes public solicitate verbal de către mijloacele de informare în masă vor fi comunicate, de regulă, imediat sau în cel mult 24 de ore.</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9.</w:t>
      </w:r>
      <w:r w:rsidRPr="000139BB">
        <w:rPr>
          <w:rFonts w:ascii="Arial" w:eastAsia="Times New Roman" w:hAnsi="Arial" w:cs="Arial"/>
          <w:color w:val="4F4F4F"/>
          <w:sz w:val="21"/>
          <w:szCs w:val="21"/>
          <w:lang w:val="fr-BE"/>
        </w:rPr>
        <w:t> - (1) În cazul în care solicitarea de informaţii implică realizarea de copii de pe documentele deţinute de autoritatea sau instituţia publică, costul serviciilor de copiere este suportat de solicitant, în condiţiile legii.</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12.</w:t>
      </w:r>
      <w:r w:rsidRPr="000139BB">
        <w:rPr>
          <w:rFonts w:ascii="Arial" w:eastAsia="Times New Roman" w:hAnsi="Arial" w:cs="Arial"/>
          <w:color w:val="4F4F4F"/>
          <w:sz w:val="21"/>
          <w:szCs w:val="21"/>
          <w:lang w:val="fr-BE"/>
        </w:rPr>
        <w:t> - (1) Se exceptează de la accesul liber al cetăţenilor, prevăzut la art. 1, următoarele informaţii: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a) informaţiile din domeniul apărării naţionale, siguranţei şi ordinii publice, dacă fac parte din categoriile informaţiilor clasificate, potrivit legii;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b) informaţiile privind deliberările autorităţilor, precum şi cele care privesc interesele economice şi politice ale României, dacă fac parte din categoria informaţiilor clasificate, potrivit legii;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c) informaţiile privind activităţile comerciale sau financiare, dacă publicitatea acestora aduce atingere principiului concurenţei loiale, potrivit legii;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d) informaţiile cu privire la datele personale, potrivit legii;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f) informaţiile privind procedurile judiciare, dacă publicitatea acestora aduce atingere asigurării unui proces echitabil ori interesului legitim al oricăreia dintre părţile implicate în proces;</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g) informaţiile a căror publicare prejudiciază măsurile de protecţie a tinerilor.</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(2) 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21.</w:t>
      </w:r>
      <w:r w:rsidRPr="000139BB">
        <w:rPr>
          <w:rFonts w:ascii="Arial" w:eastAsia="Times New Roman" w:hAnsi="Arial" w:cs="Arial"/>
          <w:color w:val="4F4F4F"/>
          <w:sz w:val="21"/>
          <w:szCs w:val="21"/>
          <w:lang w:val="fr-BE"/>
        </w:rPr>
        <w:t> - (1) Refuzul explicit sau tacit al angajatului desemnat al unei autorităţi ori instituţii publice pentru aplicarea prevederilor prezentei legi constituie abatere şi atrage răspunderea disciplinară a celui vinovat.</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lastRenderedPageBreak/>
        <w:t>(2) Împotriva refuzului prevăzut la alin. (1) se poate depune reclamaţie la conducătorul autorităţii sau al instituţiei publice respective în termen de 30 de zile de la luarea la cunoştinţă de către persoana lezată.</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(3)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0139BB" w:rsidRPr="000139BB" w:rsidRDefault="000139BB" w:rsidP="000139BB">
      <w:pPr>
        <w:spacing w:beforeAutospacing="1" w:after="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b/>
          <w:bCs/>
          <w:color w:val="4F4F4F"/>
          <w:sz w:val="21"/>
          <w:szCs w:val="21"/>
          <w:lang w:val="fr-BE"/>
        </w:rPr>
        <w:t>Art. 22.</w:t>
      </w:r>
      <w:r w:rsidRPr="000139BB">
        <w:rPr>
          <w:rFonts w:ascii="Arial" w:eastAsia="Times New Roman" w:hAnsi="Arial" w:cs="Arial"/>
          <w:color w:val="4F4F4F"/>
          <w:sz w:val="21"/>
          <w:szCs w:val="21"/>
          <w:lang w:val="fr-BE"/>
        </w:rPr>
        <w:t> - (1)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art. 7.</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(2) Instanţa poate obliga autoritatea sau instituţia publică să furnizeze informaţiile de interes public solicitate şi să plătească daune morale şi/sau patrimoniale.</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(3) Hotărârea tribunalului este supusă recursului.</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(4) Decizia Curţii de apel este definitivă şi irevocabilă.</w:t>
      </w:r>
    </w:p>
    <w:p w:rsidR="000139BB" w:rsidRPr="000139BB" w:rsidRDefault="000139BB" w:rsidP="000139BB">
      <w:pPr>
        <w:spacing w:before="100" w:beforeAutospacing="1" w:after="100" w:afterAutospacing="1" w:line="270" w:lineRule="atLeast"/>
        <w:jc w:val="both"/>
        <w:rPr>
          <w:rFonts w:ascii="Arial" w:eastAsia="Times New Roman" w:hAnsi="Arial" w:cs="Arial"/>
          <w:color w:val="4F4F4F"/>
          <w:sz w:val="21"/>
          <w:szCs w:val="21"/>
          <w:lang w:val="fr-BE"/>
        </w:rPr>
      </w:pPr>
      <w:r w:rsidRPr="000139BB">
        <w:rPr>
          <w:rFonts w:ascii="Arial" w:eastAsia="Times New Roman" w:hAnsi="Arial" w:cs="Arial"/>
          <w:color w:val="4F4F4F"/>
          <w:sz w:val="21"/>
          <w:szCs w:val="21"/>
          <w:lang w:val="fr-BE"/>
        </w:rPr>
        <w:t>(5) Atât plângerea, cât şi apelul se judecă în instanţă în procedură de urgenţă şi sunt scutite de taxă de timbru.</w:t>
      </w:r>
    </w:p>
    <w:p w:rsidR="00F55742" w:rsidRPr="000139BB" w:rsidRDefault="00F55742">
      <w:pPr>
        <w:rPr>
          <w:lang w:val="fr-BE"/>
        </w:rPr>
      </w:pPr>
      <w:bookmarkStart w:id="0" w:name="_GoBack"/>
      <w:bookmarkEnd w:id="0"/>
    </w:p>
    <w:sectPr w:rsidR="00F55742" w:rsidRPr="0001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A2"/>
    <w:rsid w:val="000139BB"/>
    <w:rsid w:val="004E3DA2"/>
    <w:rsid w:val="00F5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28553-71E1-4EC2-AAFF-492E9D33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7726</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2020-09-10T10:22:00Z</dcterms:created>
  <dcterms:modified xsi:type="dcterms:W3CDTF">2020-09-10T10:22:00Z</dcterms:modified>
</cp:coreProperties>
</file>